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A5789" w14:textId="77777777" w:rsidR="00137744" w:rsidRPr="00230EA1" w:rsidRDefault="00137744" w:rsidP="00137744">
      <w:pPr>
        <w:spacing w:before="240" w:after="120"/>
        <w:jc w:val="both"/>
        <w:rPr>
          <w:rFonts w:ascii="Times New Roman" w:hAnsi="Times New Roman"/>
          <w:b/>
          <w:sz w:val="20"/>
        </w:rPr>
      </w:pPr>
      <w:r>
        <w:rPr>
          <w:rFonts w:ascii="Times New Roman" w:hAnsi="Times New Roman"/>
          <w:b/>
          <w:sz w:val="20"/>
        </w:rPr>
        <w:t>PRACTICE</w:t>
      </w:r>
      <w:r w:rsidRPr="00230EA1">
        <w:rPr>
          <w:rFonts w:ascii="Times New Roman" w:hAnsi="Times New Roman"/>
          <w:b/>
          <w:sz w:val="20"/>
        </w:rPr>
        <w:t xml:space="preserve"> </w:t>
      </w:r>
      <w:r>
        <w:rPr>
          <w:rFonts w:ascii="Times New Roman" w:hAnsi="Times New Roman"/>
          <w:b/>
          <w:sz w:val="20"/>
        </w:rPr>
        <w:t xml:space="preserve">AND REFLECTION </w:t>
      </w:r>
      <w:r w:rsidRPr="00230EA1">
        <w:rPr>
          <w:rFonts w:ascii="Times New Roman" w:hAnsi="Times New Roman"/>
          <w:b/>
          <w:sz w:val="20"/>
        </w:rPr>
        <w:t>8.</w:t>
      </w:r>
      <w:r>
        <w:rPr>
          <w:rFonts w:ascii="Times New Roman" w:hAnsi="Times New Roman"/>
          <w:b/>
          <w:sz w:val="20"/>
        </w:rPr>
        <w:t>4</w:t>
      </w:r>
      <w:r w:rsidRPr="00230EA1">
        <w:rPr>
          <w:rFonts w:ascii="Times New Roman" w:hAnsi="Times New Roman"/>
          <w:b/>
          <w:sz w:val="20"/>
        </w:rPr>
        <w:t xml:space="preserve">: PERSON-FIRST OR </w:t>
      </w:r>
      <w:r>
        <w:rPr>
          <w:rFonts w:ascii="Times New Roman" w:hAnsi="Times New Roman"/>
          <w:b/>
          <w:sz w:val="20"/>
        </w:rPr>
        <w:t>IDENTITY</w:t>
      </w:r>
      <w:r w:rsidRPr="00230EA1">
        <w:rPr>
          <w:rFonts w:ascii="Times New Roman" w:hAnsi="Times New Roman"/>
          <w:b/>
          <w:sz w:val="20"/>
        </w:rPr>
        <w:t>-FIRST LANGUAGE?</w:t>
      </w:r>
    </w:p>
    <w:p w14:paraId="0F3CE47C" w14:textId="77777777" w:rsidR="00137744" w:rsidRDefault="00137744" w:rsidP="00137744">
      <w:pPr>
        <w:spacing w:before="120" w:after="120"/>
        <w:jc w:val="both"/>
        <w:rPr>
          <w:rFonts w:ascii="Times New Roman" w:hAnsi="Times New Roman"/>
          <w:sz w:val="20"/>
        </w:rPr>
      </w:pPr>
      <w:r w:rsidRPr="00230EA1">
        <w:rPr>
          <w:rFonts w:ascii="Times New Roman" w:hAnsi="Times New Roman"/>
          <w:sz w:val="20"/>
        </w:rPr>
        <w:t xml:space="preserve">Since the early 1980s, there has been a strong movement within education, rehabilitation, and </w:t>
      </w:r>
      <w:r>
        <w:rPr>
          <w:rFonts w:ascii="Times New Roman" w:hAnsi="Times New Roman"/>
          <w:sz w:val="20"/>
        </w:rPr>
        <w:t xml:space="preserve">the mental health professions </w:t>
      </w:r>
      <w:r w:rsidRPr="00230EA1">
        <w:rPr>
          <w:rFonts w:ascii="Times New Roman" w:hAnsi="Times New Roman"/>
          <w:sz w:val="20"/>
        </w:rPr>
        <w:t xml:space="preserve">toward using person-first language (Wright, 1983). </w:t>
      </w:r>
      <w:r w:rsidRPr="00230EA1">
        <w:rPr>
          <w:rFonts w:ascii="Times New Roman" w:hAnsi="Times New Roman"/>
          <w:i/>
          <w:sz w:val="20"/>
        </w:rPr>
        <w:t xml:space="preserve">Person-first language </w:t>
      </w:r>
      <w:r w:rsidRPr="00230EA1">
        <w:rPr>
          <w:rFonts w:ascii="Times New Roman" w:hAnsi="Times New Roman"/>
          <w:sz w:val="20"/>
        </w:rPr>
        <w:t>emphasizes the person rather than impairments</w:t>
      </w:r>
      <w:r>
        <w:rPr>
          <w:rFonts w:ascii="Times New Roman" w:hAnsi="Times New Roman"/>
          <w:sz w:val="20"/>
        </w:rPr>
        <w:t>,</w:t>
      </w:r>
      <w:r w:rsidRPr="00230EA1">
        <w:rPr>
          <w:rFonts w:ascii="Times New Roman" w:hAnsi="Times New Roman"/>
          <w:sz w:val="20"/>
        </w:rPr>
        <w:t xml:space="preserve"> disabilities</w:t>
      </w:r>
      <w:r>
        <w:rPr>
          <w:rFonts w:ascii="Times New Roman" w:hAnsi="Times New Roman"/>
          <w:sz w:val="20"/>
        </w:rPr>
        <w:t>, or other possible identity labels</w:t>
      </w:r>
      <w:r w:rsidRPr="00230EA1">
        <w:rPr>
          <w:rFonts w:ascii="Times New Roman" w:hAnsi="Times New Roman"/>
          <w:sz w:val="20"/>
        </w:rPr>
        <w:t>. The goal is to “preserve disabled people’s humanity while promoting their individuality” (Dunn &amp; Andrews, 2015, p. 258). For example, instead of referring to an individual as “a visually impaired client,” person-first language is “a client with a visual impairment.”</w:t>
      </w:r>
      <w:r>
        <w:rPr>
          <w:rFonts w:ascii="Times New Roman" w:hAnsi="Times New Roman"/>
          <w:sz w:val="20"/>
        </w:rPr>
        <w:t xml:space="preserve"> Ironically and as an illustration of the complexity of language and naming issues, in the preceding quotation, Dunn and Andrews (2015) use disability first language (i.e., “disabled people’s”).</w:t>
      </w:r>
    </w:p>
    <w:p w14:paraId="2E1627FD" w14:textId="77777777" w:rsidR="00137744" w:rsidRDefault="00137744" w:rsidP="00137744">
      <w:pPr>
        <w:spacing w:before="120" w:after="120"/>
        <w:jc w:val="both"/>
        <w:rPr>
          <w:rFonts w:ascii="Times New Roman" w:hAnsi="Times New Roman"/>
          <w:sz w:val="20"/>
        </w:rPr>
      </w:pPr>
      <w:r>
        <w:rPr>
          <w:rFonts w:ascii="Times New Roman" w:hAnsi="Times New Roman"/>
          <w:sz w:val="20"/>
        </w:rPr>
        <w:t>The American Psychological Association (APA, 2021) has published an authoritative source for inclusive language use:</w:t>
      </w:r>
    </w:p>
    <w:p w14:paraId="2308DE91" w14:textId="77777777" w:rsidR="00137744" w:rsidRDefault="00137744" w:rsidP="00137744">
      <w:pPr>
        <w:spacing w:before="120" w:after="120"/>
        <w:ind w:left="720" w:right="720"/>
        <w:jc w:val="both"/>
        <w:rPr>
          <w:rFonts w:ascii="Times New Roman" w:hAnsi="Times New Roman"/>
          <w:sz w:val="20"/>
        </w:rPr>
      </w:pPr>
      <w:r w:rsidRPr="005D77EE">
        <w:rPr>
          <w:rFonts w:ascii="Times New Roman" w:hAnsi="Times New Roman"/>
          <w:sz w:val="20"/>
        </w:rPr>
        <w:t>Language should be selected with the understanding that the individual’s preference supersedes matters of</w:t>
      </w:r>
      <w:r>
        <w:rPr>
          <w:rFonts w:ascii="Times New Roman" w:hAnsi="Times New Roman"/>
          <w:sz w:val="20"/>
        </w:rPr>
        <w:t xml:space="preserve"> </w:t>
      </w:r>
      <w:r w:rsidRPr="005D77EE">
        <w:rPr>
          <w:rFonts w:ascii="Times New Roman" w:hAnsi="Times New Roman"/>
          <w:sz w:val="20"/>
        </w:rPr>
        <w:t>style. In person-first language, the person is emphasized, not the disability or chronic condition. In identity-first language, the disability becomes the focus, which allows the individual to claim the disability or the chronic condition and choose their identity rather than permitting others (e.g., authors, educators, researchers) to name it or to select terms with negative implications. It is often used as an expression of cultural pride and a reclamation of a disability or chronic condition that once conferred a negative identity.</w:t>
      </w:r>
      <w:r>
        <w:rPr>
          <w:rFonts w:ascii="Times New Roman" w:hAnsi="Times New Roman"/>
          <w:sz w:val="20"/>
        </w:rPr>
        <w:t xml:space="preserve"> (</w:t>
      </w:r>
      <w:r w:rsidRPr="005D77EE">
        <w:rPr>
          <w:rFonts w:ascii="Times New Roman" w:hAnsi="Times New Roman"/>
          <w:sz w:val="20"/>
        </w:rPr>
        <w:t>A</w:t>
      </w:r>
      <w:r>
        <w:rPr>
          <w:rFonts w:ascii="Times New Roman" w:hAnsi="Times New Roman"/>
          <w:sz w:val="20"/>
        </w:rPr>
        <w:t>PA, 20</w:t>
      </w:r>
      <w:r w:rsidRPr="005D77EE">
        <w:rPr>
          <w:rFonts w:ascii="Times New Roman" w:hAnsi="Times New Roman"/>
          <w:sz w:val="20"/>
        </w:rPr>
        <w:t>21</w:t>
      </w:r>
      <w:r>
        <w:rPr>
          <w:rFonts w:ascii="Times New Roman" w:hAnsi="Times New Roman"/>
          <w:sz w:val="20"/>
        </w:rPr>
        <w:t xml:space="preserve">; </w:t>
      </w:r>
      <w:hyperlink r:id="rId4" w:history="1">
        <w:r w:rsidRPr="00C01BF7">
          <w:rPr>
            <w:rStyle w:val="Hyperlink"/>
            <w:rFonts w:ascii="Times New Roman" w:hAnsi="Times New Roman"/>
            <w:sz w:val="20"/>
          </w:rPr>
          <w:t>https://www.apa.org/about/apa/equity-diversity-inclusion/language-guidelines.pdf</w:t>
        </w:r>
      </w:hyperlink>
      <w:r>
        <w:rPr>
          <w:rFonts w:ascii="Times New Roman" w:hAnsi="Times New Roman"/>
          <w:sz w:val="20"/>
        </w:rPr>
        <w:t>)</w:t>
      </w:r>
    </w:p>
    <w:p w14:paraId="264F295C" w14:textId="77777777" w:rsidR="00137744" w:rsidRDefault="00137744" w:rsidP="00137744">
      <w:pPr>
        <w:spacing w:before="120" w:after="120"/>
        <w:ind w:firstLine="288"/>
        <w:jc w:val="both"/>
        <w:rPr>
          <w:rFonts w:ascii="Times New Roman" w:hAnsi="Times New Roman"/>
          <w:sz w:val="20"/>
        </w:rPr>
      </w:pPr>
      <w:r>
        <w:rPr>
          <w:rFonts w:ascii="Times New Roman" w:hAnsi="Times New Roman"/>
          <w:sz w:val="20"/>
        </w:rPr>
        <w:t>Despite APA’s guidelines, debate around the implications of p</w:t>
      </w:r>
      <w:r w:rsidRPr="00230EA1">
        <w:rPr>
          <w:rFonts w:ascii="Times New Roman" w:hAnsi="Times New Roman"/>
          <w:sz w:val="20"/>
        </w:rPr>
        <w:t xml:space="preserve">erson-first </w:t>
      </w:r>
      <w:r>
        <w:rPr>
          <w:rFonts w:ascii="Times New Roman" w:hAnsi="Times New Roman"/>
          <w:sz w:val="20"/>
        </w:rPr>
        <w:t xml:space="preserve">and identity-first </w:t>
      </w:r>
      <w:r w:rsidRPr="00230EA1">
        <w:rPr>
          <w:rFonts w:ascii="Times New Roman" w:hAnsi="Times New Roman"/>
          <w:sz w:val="20"/>
        </w:rPr>
        <w:t xml:space="preserve">language </w:t>
      </w:r>
      <w:r>
        <w:rPr>
          <w:rFonts w:ascii="Times New Roman" w:hAnsi="Times New Roman"/>
          <w:sz w:val="20"/>
        </w:rPr>
        <w:t xml:space="preserve">continues </w:t>
      </w:r>
      <w:r w:rsidRPr="00230EA1">
        <w:rPr>
          <w:rFonts w:ascii="Times New Roman" w:hAnsi="Times New Roman"/>
          <w:sz w:val="20"/>
        </w:rPr>
        <w:t>(</w:t>
      </w:r>
      <w:r>
        <w:rPr>
          <w:rFonts w:ascii="Times New Roman" w:hAnsi="Times New Roman"/>
          <w:sz w:val="20"/>
        </w:rPr>
        <w:t xml:space="preserve">Dwyer, 2022; </w:t>
      </w:r>
      <w:proofErr w:type="spellStart"/>
      <w:r w:rsidRPr="005D77EE">
        <w:rPr>
          <w:rFonts w:ascii="Times New Roman" w:hAnsi="Times New Roman"/>
          <w:sz w:val="20"/>
        </w:rPr>
        <w:t>Gernsbacher</w:t>
      </w:r>
      <w:proofErr w:type="spellEnd"/>
      <w:r w:rsidRPr="005D77EE">
        <w:rPr>
          <w:rFonts w:ascii="Times New Roman" w:hAnsi="Times New Roman"/>
          <w:sz w:val="20"/>
        </w:rPr>
        <w:t>, 2017</w:t>
      </w:r>
      <w:r>
        <w:rPr>
          <w:rFonts w:ascii="Times New Roman" w:hAnsi="Times New Roman"/>
          <w:sz w:val="20"/>
        </w:rPr>
        <w:t xml:space="preserve">). </w:t>
      </w:r>
      <w:r w:rsidRPr="00230EA1">
        <w:rPr>
          <w:rFonts w:ascii="Times New Roman" w:hAnsi="Times New Roman"/>
          <w:sz w:val="20"/>
        </w:rPr>
        <w:t>As advocates for individuals in need of mental health services, we find this debate fascinating on many levels. Although language can shift attitudes and increase consciousness, individuals with disabilities (aka disabled individuals) have a right to reject person-first language and claim their disabilities as a central part of their identities.</w:t>
      </w:r>
      <w:r>
        <w:rPr>
          <w:rFonts w:ascii="Times New Roman" w:hAnsi="Times New Roman"/>
          <w:sz w:val="20"/>
        </w:rPr>
        <w:t xml:space="preserve"> Consistent with APA’s guidance, in chapter 2 we described the right of minoritized populations (ethnic and sexually diverse groups) and individuals to name themselves. Similarly, individuals with disabilities own the right to refer to themselves as disabled persons. </w:t>
      </w:r>
    </w:p>
    <w:p w14:paraId="45F2693E" w14:textId="77777777" w:rsidR="00137744" w:rsidRDefault="00137744" w:rsidP="00137744">
      <w:pPr>
        <w:spacing w:before="120" w:after="120"/>
        <w:ind w:firstLine="288"/>
        <w:jc w:val="both"/>
        <w:rPr>
          <w:rFonts w:ascii="Times New Roman" w:hAnsi="Times New Roman"/>
          <w:color w:val="231F20"/>
          <w:sz w:val="20"/>
        </w:rPr>
      </w:pPr>
      <w:r>
        <w:rPr>
          <w:rFonts w:ascii="Times New Roman" w:hAnsi="Times New Roman"/>
          <w:sz w:val="20"/>
        </w:rPr>
        <w:t xml:space="preserve">Person vs. identity first issues </w:t>
      </w:r>
      <w:r w:rsidRPr="00230EA1">
        <w:rPr>
          <w:rFonts w:ascii="Times New Roman" w:hAnsi="Times New Roman"/>
          <w:sz w:val="20"/>
        </w:rPr>
        <w:t xml:space="preserve">may </w:t>
      </w:r>
      <w:r>
        <w:rPr>
          <w:rFonts w:ascii="Times New Roman" w:hAnsi="Times New Roman"/>
          <w:sz w:val="20"/>
        </w:rPr>
        <w:t xml:space="preserve">or may not </w:t>
      </w:r>
      <w:r w:rsidRPr="00230EA1">
        <w:rPr>
          <w:rFonts w:ascii="Times New Roman" w:hAnsi="Times New Roman"/>
          <w:sz w:val="20"/>
        </w:rPr>
        <w:t xml:space="preserve">be less controversial with regard to mental health labels. Even though mental health diagnosis-first language is easier (e.g., “the depressed child”) than person-first language </w:t>
      </w:r>
      <w:r w:rsidRPr="00230EA1">
        <w:rPr>
          <w:rFonts w:ascii="Times New Roman" w:hAnsi="Times New Roman"/>
          <w:color w:val="231F20"/>
          <w:sz w:val="20"/>
        </w:rPr>
        <w:t xml:space="preserve">(e.g., “the child with depression”), the difference is crucial. Using diagnosis-first language suggests chronicity and </w:t>
      </w:r>
      <w:r>
        <w:rPr>
          <w:rFonts w:ascii="Times New Roman" w:hAnsi="Times New Roman"/>
          <w:color w:val="231F20"/>
          <w:sz w:val="20"/>
        </w:rPr>
        <w:t xml:space="preserve">conflates a diagnostic label with </w:t>
      </w:r>
      <w:r w:rsidRPr="00230EA1">
        <w:rPr>
          <w:rFonts w:ascii="Times New Roman" w:hAnsi="Times New Roman"/>
          <w:color w:val="231F20"/>
          <w:sz w:val="20"/>
        </w:rPr>
        <w:t>identity. Being a depressed client leaves less possibility for positive change and growth than being a client with depression.</w:t>
      </w:r>
      <w:r>
        <w:rPr>
          <w:rFonts w:ascii="Times New Roman" w:hAnsi="Times New Roman"/>
          <w:color w:val="231F20"/>
          <w:sz w:val="20"/>
        </w:rPr>
        <w:t xml:space="preserve"> For similar naming and labeling reasons, one of us has chosen to avoid using the generic term “mental illness.” </w:t>
      </w:r>
    </w:p>
    <w:p w14:paraId="7FBC398D" w14:textId="77777777" w:rsidR="00137744" w:rsidRDefault="00137744" w:rsidP="00137744"/>
    <w:p w14:paraId="1EDBD71F" w14:textId="77777777" w:rsidR="00CD1433" w:rsidRDefault="00CD1433"/>
    <w:sectPr w:rsidR="00CD14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744"/>
    <w:rsid w:val="00137744"/>
    <w:rsid w:val="00CD1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232F1"/>
  <w15:chartTrackingRefBased/>
  <w15:docId w15:val="{2D54C506-92B6-40DF-A6EA-5248C6DBA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37744"/>
    <w:pPr>
      <w:widowControl w:val="0"/>
      <w:autoSpaceDE w:val="0"/>
      <w:autoSpaceDN w:val="0"/>
      <w:spacing w:after="0" w:line="240" w:lineRule="auto"/>
    </w:pPr>
    <w:rPr>
      <w:rFonts w:ascii="Palatino Linotype" w:eastAsia="Palatino Linotype" w:hAnsi="Palatino Linotype" w:cs="Palatino Linoty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77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pa.org/about/apa/equity-diversity-inclusion/language-guidelin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471</Words>
  <Characters>2689</Characters>
  <Application>Microsoft Office Word</Application>
  <DocSecurity>0</DocSecurity>
  <Lines>22</Lines>
  <Paragraphs>6</Paragraphs>
  <ScaleCrop>false</ScaleCrop>
  <Company>University of Montana</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1</cp:revision>
  <dcterms:created xsi:type="dcterms:W3CDTF">2024-04-07T23:55:00Z</dcterms:created>
  <dcterms:modified xsi:type="dcterms:W3CDTF">2024-04-07T23:57:00Z</dcterms:modified>
</cp:coreProperties>
</file>